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sz w:val="56"/>
          <w:szCs w:val="56"/>
        </w:rPr>
      </w:pPr>
      <w:r>
        <w:rPr>
          <w:rFonts w:cs="Times New Roman" w:ascii="Times New Roman" w:hAnsi="Times New Roman"/>
          <w:b/>
          <w:sz w:val="56"/>
          <w:szCs w:val="56"/>
        </w:rPr>
        <w:t>Kamuoyu Duyurusu</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30"/>
          <w:szCs w:val="30"/>
        </w:rPr>
      </w:pPr>
      <w:r>
        <w:rPr>
          <w:rFonts w:cs="Times New Roman" w:ascii="Times New Roman" w:hAnsi="Times New Roman"/>
          <w:sz w:val="30"/>
          <w:szCs w:val="30"/>
        </w:rPr>
        <w:tab/>
        <w:t xml:space="preserve">Asansör periyodik kontrollerine ilişkin usul ve esaslar, Sanayi ve Teknoloji Bakanlığı tarafından 04/05/2018 tarihli ve 30411 sayılı Resmî Gazete’de yayımlanmış olan Asansör Periyodik Kontrol Yönetmeliği ile belirlenmiş bulunmaktadır. Bahsi geçen Yönetmelik gereği, ilçemiz sınırları içerisindeki asansörlerin yılda en az bir defa periyodik kontrollerinin yapılması maksadıyla 01/09/2023 – 31/08/2033 tarihlerini kapsayan </w:t>
      </w:r>
      <w:r>
        <w:rPr>
          <w:rFonts w:eastAsia="" w:cs="Times New Roman" w:ascii="Times New Roman" w:hAnsi="Times New Roman" w:eastAsiaTheme="minorEastAsia"/>
          <w:color w:val="auto"/>
          <w:kern w:val="0"/>
          <w:sz w:val="30"/>
          <w:szCs w:val="30"/>
          <w:lang w:val="tr-TR" w:eastAsia="tr-TR" w:bidi="ar-SA"/>
        </w:rPr>
        <w:t>10</w:t>
      </w:r>
      <w:r>
        <w:rPr>
          <w:rFonts w:cs="Times New Roman" w:ascii="Times New Roman" w:hAnsi="Times New Roman"/>
          <w:sz w:val="30"/>
          <w:szCs w:val="30"/>
        </w:rPr>
        <w:t xml:space="preserve"> (</w:t>
      </w:r>
      <w:r>
        <w:rPr>
          <w:rFonts w:eastAsia="" w:cs="Times New Roman" w:ascii="Times New Roman" w:hAnsi="Times New Roman" w:eastAsiaTheme="minorEastAsia"/>
          <w:color w:val="auto"/>
          <w:kern w:val="0"/>
          <w:sz w:val="30"/>
          <w:szCs w:val="30"/>
          <w:lang w:val="tr-TR" w:eastAsia="tr-TR" w:bidi="ar-SA"/>
        </w:rPr>
        <w:t>on</w:t>
      </w:r>
      <w:r>
        <w:rPr>
          <w:rFonts w:cs="Times New Roman" w:ascii="Times New Roman" w:hAnsi="Times New Roman"/>
          <w:sz w:val="30"/>
          <w:szCs w:val="30"/>
        </w:rPr>
        <w:t xml:space="preserve">) yıllık dönem için, Bakanlık tarafından yetkilendirilen A tipi muayene kuruluşlarından birisi olan </w:t>
      </w:r>
      <w:r>
        <w:rPr>
          <w:rFonts w:cs="Times New Roman" w:ascii="Times New Roman" w:hAnsi="Times New Roman"/>
          <w:color w:val="000000" w:themeColor="text1"/>
          <w:sz w:val="30"/>
          <w:szCs w:val="30"/>
        </w:rPr>
        <w:t xml:space="preserve">AND Uluslararası Denetim ve Gözetim Hizmetleri A.Ş. </w:t>
      </w:r>
      <w:r>
        <w:rPr>
          <w:rFonts w:cs="Times New Roman" w:ascii="Times New Roman" w:hAnsi="Times New Roman"/>
          <w:sz w:val="30"/>
          <w:szCs w:val="30"/>
        </w:rPr>
        <w:t>ile idaremiz arasında 11/08/20</w:t>
      </w:r>
      <w:r>
        <w:rPr>
          <w:rFonts w:eastAsia="" w:cs="Times New Roman" w:ascii="Times New Roman" w:hAnsi="Times New Roman" w:eastAsiaTheme="minorEastAsia"/>
          <w:color w:val="auto"/>
          <w:kern w:val="0"/>
          <w:sz w:val="30"/>
          <w:szCs w:val="30"/>
          <w:lang w:val="tr-TR" w:eastAsia="tr-TR" w:bidi="ar-SA"/>
        </w:rPr>
        <w:t>23</w:t>
      </w:r>
      <w:r>
        <w:rPr>
          <w:rFonts w:cs="Times New Roman" w:ascii="Times New Roman" w:hAnsi="Times New Roman"/>
          <w:sz w:val="30"/>
          <w:szCs w:val="30"/>
        </w:rPr>
        <w:t xml:space="preserve"> tarihinde protokol imzalan</w:t>
      </w:r>
      <w:r>
        <w:rPr>
          <w:rFonts w:eastAsia="" w:cs="Times New Roman" w:ascii="Times New Roman" w:hAnsi="Times New Roman" w:eastAsiaTheme="minorEastAsia"/>
          <w:color w:val="auto"/>
          <w:kern w:val="0"/>
          <w:sz w:val="30"/>
          <w:szCs w:val="30"/>
          <w:lang w:val="tr-TR" w:eastAsia="tr-TR" w:bidi="ar-SA"/>
        </w:rPr>
        <w:t>mış bulunmaktadır.</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708"/>
        <w:jc w:val="both"/>
        <w:rPr>
          <w:rFonts w:ascii="Times New Roman" w:hAnsi="Times New Roman" w:cs="Times New Roman"/>
          <w:sz w:val="30"/>
          <w:szCs w:val="30"/>
        </w:rPr>
      </w:pPr>
      <w:r>
        <w:rPr>
          <w:rFonts w:cs="Times New Roman" w:ascii="Times New Roman" w:hAnsi="Times New Roman"/>
          <w:sz w:val="30"/>
          <w:szCs w:val="30"/>
        </w:rPr>
        <w:t xml:space="preserve">Asansör periyodik kontrol </w:t>
      </w:r>
      <w:r>
        <w:rPr>
          <w:rFonts w:eastAsia="Times New Roman" w:cs="Times New Roman" w:ascii="Times New Roman" w:hAnsi="Times New Roman"/>
          <w:sz w:val="30"/>
          <w:szCs w:val="30"/>
        </w:rPr>
        <w:t xml:space="preserve">taban ve tavan </w:t>
      </w:r>
      <w:r>
        <w:rPr>
          <w:rFonts w:cs="Times New Roman" w:ascii="Times New Roman" w:hAnsi="Times New Roman"/>
          <w:sz w:val="30"/>
          <w:szCs w:val="30"/>
        </w:rPr>
        <w:t xml:space="preserve">ücretleri, her yıl </w:t>
      </w:r>
      <w:r>
        <w:rPr>
          <w:rFonts w:eastAsia="Times New Roman" w:ascii="Times New Roman" w:hAnsi="Times New Roman"/>
          <w:sz w:val="30"/>
          <w:szCs w:val="30"/>
        </w:rPr>
        <w:t xml:space="preserve">4/1/1961 tarihli ve 213 sayılı Vergi Usul Kanunu hükümleri uyarınca, tespit ve ilan olunan yeniden değerleme oranını geçmeyecek şekilde Bakanlık tarafından belirlenerek </w:t>
      </w:r>
      <w:r>
        <w:rPr>
          <w:rFonts w:eastAsia="Times New Roman" w:cs="Times New Roman" w:ascii="Times New Roman" w:hAnsi="Times New Roman"/>
          <w:sz w:val="30"/>
          <w:szCs w:val="30"/>
        </w:rPr>
        <w:t>internet sayfasından ilan edil</w:t>
      </w:r>
      <w:r>
        <w:rPr>
          <w:rFonts w:eastAsia="Times New Roman" w:ascii="Times New Roman" w:hAnsi="Times New Roman"/>
          <w:sz w:val="30"/>
          <w:szCs w:val="30"/>
        </w:rPr>
        <w:t>ir. Buna göre, i</w:t>
      </w:r>
      <w:r>
        <w:rPr>
          <w:rFonts w:eastAsia="Times New Roman" w:cs="Times New Roman" w:ascii="Times New Roman" w:hAnsi="Times New Roman"/>
          <w:color w:val="000000" w:themeColor="text1"/>
          <w:sz w:val="30"/>
          <w:szCs w:val="30"/>
        </w:rPr>
        <w:t xml:space="preserve">lçemiz sınırları içerisinde </w:t>
      </w:r>
      <w:r>
        <w:rPr>
          <w:rFonts w:cs="Times New Roman" w:ascii="Times New Roman" w:hAnsi="Times New Roman"/>
          <w:color w:val="000000" w:themeColor="text1"/>
          <w:sz w:val="30"/>
          <w:szCs w:val="30"/>
        </w:rPr>
        <w:t xml:space="preserve">A tipi muayene kuruluşu tarafından </w:t>
      </w:r>
      <w:r>
        <w:rPr>
          <w:rFonts w:cs="Times New Roman" w:ascii="Times New Roman" w:hAnsi="Times New Roman"/>
          <w:sz w:val="30"/>
          <w:szCs w:val="30"/>
        </w:rPr>
        <w:t>aşağıda yer alan taban ücretler uygulanacaktır.</w:t>
      </w:r>
    </w:p>
    <w:p>
      <w:pPr>
        <w:pStyle w:val="Normal"/>
        <w:spacing w:lineRule="auto" w:line="240" w:before="0" w:after="0"/>
        <w:ind w:firstLine="708"/>
        <w:jc w:val="both"/>
        <w:rPr>
          <w:rFonts w:ascii="Times New Roman" w:hAnsi="Times New Roman" w:cs="Times New Roman"/>
          <w:sz w:val="30"/>
          <w:szCs w:val="30"/>
        </w:rPr>
      </w:pPr>
      <w:r>
        <w:rPr>
          <w:rFonts w:cs="Times New Roman" w:ascii="Times New Roman" w:hAnsi="Times New Roman"/>
          <w:sz w:val="30"/>
          <w:szCs w:val="30"/>
        </w:rPr>
      </w:r>
    </w:p>
    <w:tbl>
      <w:tblPr>
        <w:tblW w:w="9585" w:type="dxa"/>
        <w:jc w:val="left"/>
        <w:tblInd w:w="52" w:type="dxa"/>
        <w:tblLayout w:type="fixed"/>
        <w:tblCellMar>
          <w:top w:w="0" w:type="dxa"/>
          <w:left w:w="2" w:type="dxa"/>
          <w:bottom w:w="0" w:type="dxa"/>
          <w:right w:w="2" w:type="dxa"/>
        </w:tblCellMar>
      </w:tblPr>
      <w:tblGrid>
        <w:gridCol w:w="1139"/>
        <w:gridCol w:w="1216"/>
        <w:gridCol w:w="1200"/>
        <w:gridCol w:w="1200"/>
        <w:gridCol w:w="1214"/>
        <w:gridCol w:w="1215"/>
        <w:gridCol w:w="1201"/>
        <w:gridCol w:w="1198"/>
      </w:tblGrid>
      <w:tr>
        <w:trPr>
          <w:trHeight w:val="454" w:hRule="atLeast"/>
        </w:trPr>
        <w:tc>
          <w:tcPr>
            <w:tcW w:w="9583" w:type="dxa"/>
            <w:gridSpan w:val="8"/>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lineRule="auto" w:line="240" w:before="0" w:after="0"/>
              <w:jc w:val="center"/>
              <w:rPr>
                <w:rFonts w:ascii="Times New Roman" w:hAnsi="Times New Roman" w:cs="Times New Roman"/>
              </w:rPr>
            </w:pPr>
            <w:r>
              <w:rPr>
                <w:b/>
                <w:bCs/>
              </w:rPr>
              <w:t>PERİYODİK</w:t>
            </w:r>
            <w:r>
              <w:rPr>
                <w:b/>
                <w:bCs/>
                <w:sz w:val="22"/>
                <w:szCs w:val="22"/>
              </w:rPr>
              <w:t xml:space="preserve"> KONTROL ÜCRETLERİ (</w:t>
            </w:r>
            <w:r>
              <w:rPr>
                <w:rFonts w:eastAsia="Times New Roman"/>
                <w:b/>
                <w:bCs/>
                <w:sz w:val="22"/>
                <w:szCs w:val="22"/>
              </w:rPr>
              <w:t>01.09.2023-31.12.2023</w:t>
            </w:r>
            <w:r>
              <w:rPr>
                <w:b/>
                <w:bCs/>
                <w:sz w:val="22"/>
                <w:szCs w:val="22"/>
              </w:rPr>
              <w:t>)</w:t>
            </w:r>
          </w:p>
        </w:tc>
      </w:tr>
      <w:tr>
        <w:trPr>
          <w:trHeight w:val="454" w:hRule="atLeast"/>
        </w:trPr>
        <w:tc>
          <w:tcPr>
            <w:tcW w:w="1139" w:type="dxa"/>
            <w:tcBorders>
              <w:left w:val="single" w:sz="2" w:space="0" w:color="000000"/>
              <w:bottom w:val="single" w:sz="2" w:space="0" w:color="000000"/>
            </w:tcBorders>
            <w:shd w:fill="EEEEEE" w:val="clear"/>
            <w:vAlign w:val="center"/>
          </w:tcPr>
          <w:p>
            <w:pPr>
              <w:pStyle w:val="Normal"/>
              <w:widowControl w:val="false"/>
              <w:spacing w:lineRule="auto" w:line="240" w:before="0" w:after="0"/>
              <w:jc w:val="center"/>
              <w:rPr>
                <w:b/>
                <w:b/>
                <w:bCs/>
                <w:color w:val="000000"/>
              </w:rPr>
            </w:pPr>
            <w:r>
              <w:rPr>
                <w:b/>
                <w:bCs/>
                <w:color w:val="000000"/>
              </w:rPr>
              <w:t>DURAK SAYISI</w:t>
            </w:r>
          </w:p>
        </w:tc>
        <w:tc>
          <w:tcPr>
            <w:tcW w:w="1216" w:type="dxa"/>
            <w:tcBorders>
              <w:left w:val="single" w:sz="2" w:space="0" w:color="000000"/>
              <w:bottom w:val="single" w:sz="2" w:space="0" w:color="000000"/>
            </w:tcBorders>
            <w:shd w:fill="EEEEEE" w:val="clear"/>
            <w:vAlign w:val="center"/>
          </w:tcPr>
          <w:p>
            <w:pPr>
              <w:pStyle w:val="Normal"/>
              <w:widowControl w:val="false"/>
              <w:spacing w:lineRule="auto" w:line="240" w:before="0" w:after="0"/>
              <w:jc w:val="center"/>
              <w:rPr>
                <w:bCs/>
                <w:color w:val="000000"/>
              </w:rPr>
            </w:pPr>
            <w:r>
              <w:rPr>
                <w:b/>
                <w:bCs/>
                <w:color w:val="000000"/>
              </w:rPr>
              <w:t>0 - 5</w:t>
            </w:r>
          </w:p>
        </w:tc>
        <w:tc>
          <w:tcPr>
            <w:tcW w:w="1200" w:type="dxa"/>
            <w:tcBorders>
              <w:left w:val="single" w:sz="2" w:space="0" w:color="000000"/>
              <w:bottom w:val="single" w:sz="2" w:space="0" w:color="000000"/>
            </w:tcBorders>
            <w:shd w:fill="EEEEEE" w:val="clear"/>
            <w:vAlign w:val="center"/>
          </w:tcPr>
          <w:p>
            <w:pPr>
              <w:pStyle w:val="Normal"/>
              <w:widowControl w:val="false"/>
              <w:spacing w:lineRule="auto" w:line="240" w:before="0" w:after="0"/>
              <w:jc w:val="center"/>
              <w:rPr>
                <w:bCs/>
                <w:color w:val="000000"/>
              </w:rPr>
            </w:pPr>
            <w:r>
              <w:rPr>
                <w:b/>
                <w:bCs/>
                <w:color w:val="000000"/>
              </w:rPr>
              <w:t>6 - 10</w:t>
            </w:r>
          </w:p>
        </w:tc>
        <w:tc>
          <w:tcPr>
            <w:tcW w:w="1200" w:type="dxa"/>
            <w:tcBorders>
              <w:left w:val="single" w:sz="2" w:space="0" w:color="000000"/>
              <w:bottom w:val="single" w:sz="2" w:space="0" w:color="000000"/>
            </w:tcBorders>
            <w:shd w:fill="EEEEEE" w:val="clear"/>
            <w:vAlign w:val="center"/>
          </w:tcPr>
          <w:p>
            <w:pPr>
              <w:pStyle w:val="Normal"/>
              <w:widowControl w:val="false"/>
              <w:spacing w:lineRule="auto" w:line="240" w:before="0" w:after="0"/>
              <w:jc w:val="center"/>
              <w:rPr>
                <w:bCs/>
                <w:color w:val="000000"/>
              </w:rPr>
            </w:pPr>
            <w:r>
              <w:rPr>
                <w:b/>
                <w:bCs/>
                <w:color w:val="000000"/>
              </w:rPr>
              <w:t>11 - 15</w:t>
            </w:r>
          </w:p>
        </w:tc>
        <w:tc>
          <w:tcPr>
            <w:tcW w:w="1214" w:type="dxa"/>
            <w:tcBorders>
              <w:left w:val="single" w:sz="2" w:space="0" w:color="000000"/>
              <w:bottom w:val="single" w:sz="2" w:space="0" w:color="000000"/>
            </w:tcBorders>
            <w:shd w:fill="EEEEEE" w:val="clear"/>
            <w:vAlign w:val="center"/>
          </w:tcPr>
          <w:p>
            <w:pPr>
              <w:pStyle w:val="Normal"/>
              <w:widowControl w:val="false"/>
              <w:spacing w:lineRule="auto" w:line="240" w:before="0" w:after="0"/>
              <w:jc w:val="center"/>
              <w:rPr>
                <w:bCs/>
                <w:color w:val="000000"/>
              </w:rPr>
            </w:pPr>
            <w:r>
              <w:rPr>
                <w:b/>
                <w:bCs/>
                <w:color w:val="000000"/>
              </w:rPr>
              <w:t>16 - 20</w:t>
            </w:r>
          </w:p>
        </w:tc>
        <w:tc>
          <w:tcPr>
            <w:tcW w:w="1215" w:type="dxa"/>
            <w:tcBorders>
              <w:left w:val="single" w:sz="2" w:space="0" w:color="000000"/>
              <w:bottom w:val="single" w:sz="2" w:space="0" w:color="000000"/>
            </w:tcBorders>
            <w:shd w:fill="EEEEEE" w:val="clear"/>
            <w:vAlign w:val="center"/>
          </w:tcPr>
          <w:p>
            <w:pPr>
              <w:pStyle w:val="Normal"/>
              <w:widowControl w:val="false"/>
              <w:spacing w:lineRule="auto" w:line="240" w:before="0" w:after="0"/>
              <w:jc w:val="center"/>
              <w:rPr>
                <w:bCs/>
                <w:color w:val="000000"/>
              </w:rPr>
            </w:pPr>
            <w:r>
              <w:rPr>
                <w:b/>
                <w:bCs/>
                <w:color w:val="000000"/>
              </w:rPr>
              <w:t>21 - 25</w:t>
            </w:r>
          </w:p>
        </w:tc>
        <w:tc>
          <w:tcPr>
            <w:tcW w:w="1201" w:type="dxa"/>
            <w:tcBorders>
              <w:left w:val="single" w:sz="2" w:space="0" w:color="000000"/>
              <w:bottom w:val="single" w:sz="2" w:space="0" w:color="000000"/>
            </w:tcBorders>
            <w:shd w:fill="EEEEEE" w:val="clear"/>
            <w:vAlign w:val="center"/>
          </w:tcPr>
          <w:p>
            <w:pPr>
              <w:pStyle w:val="Normal"/>
              <w:widowControl w:val="false"/>
              <w:spacing w:lineRule="auto" w:line="240" w:before="0" w:after="0"/>
              <w:jc w:val="center"/>
              <w:rPr>
                <w:bCs/>
                <w:color w:val="000000"/>
              </w:rPr>
            </w:pPr>
            <w:r>
              <w:rPr>
                <w:b/>
                <w:bCs/>
                <w:color w:val="000000"/>
              </w:rPr>
              <w:t>26 - 30</w:t>
            </w:r>
          </w:p>
        </w:tc>
        <w:tc>
          <w:tcPr>
            <w:tcW w:w="1198" w:type="dxa"/>
            <w:tcBorders>
              <w:left w:val="single" w:sz="2" w:space="0" w:color="000000"/>
              <w:bottom w:val="single" w:sz="2" w:space="0" w:color="000000"/>
              <w:right w:val="single" w:sz="2" w:space="0" w:color="000000"/>
            </w:tcBorders>
            <w:shd w:fill="EEEEEE" w:val="clear"/>
            <w:vAlign w:val="center"/>
          </w:tcPr>
          <w:p>
            <w:pPr>
              <w:pStyle w:val="Normal"/>
              <w:widowControl w:val="false"/>
              <w:spacing w:lineRule="auto" w:line="240" w:before="0" w:after="0"/>
              <w:jc w:val="center"/>
              <w:rPr>
                <w:bCs/>
                <w:color w:val="000000"/>
              </w:rPr>
            </w:pPr>
            <w:r>
              <w:rPr>
                <w:b/>
                <w:bCs/>
                <w:color w:val="000000"/>
              </w:rPr>
              <w:t>30 &lt;</w:t>
            </w:r>
          </w:p>
        </w:tc>
      </w:tr>
      <w:tr>
        <w:trPr>
          <w:trHeight w:val="454" w:hRule="atLeast"/>
        </w:trPr>
        <w:tc>
          <w:tcPr>
            <w:tcW w:w="1139" w:type="dxa"/>
            <w:tcBorders>
              <w:left w:val="single" w:sz="2" w:space="0" w:color="000000"/>
              <w:bottom w:val="single" w:sz="2" w:space="0" w:color="000000"/>
            </w:tcBorders>
            <w:shd w:fill="FFFFFF" w:val="clear"/>
            <w:vAlign w:val="center"/>
          </w:tcPr>
          <w:p>
            <w:pPr>
              <w:pStyle w:val="Normal"/>
              <w:widowControl w:val="false"/>
              <w:spacing w:lineRule="auto" w:line="240" w:before="0" w:after="0"/>
              <w:jc w:val="center"/>
              <w:rPr>
                <w:b/>
                <w:b/>
                <w:bCs/>
                <w:color w:val="000000"/>
              </w:rPr>
            </w:pPr>
            <w:r>
              <w:rPr>
                <w:b/>
                <w:bCs/>
                <w:color w:val="000000"/>
              </w:rPr>
              <w:t>ÜCRET</w:t>
            </w:r>
          </w:p>
        </w:tc>
        <w:tc>
          <w:tcPr>
            <w:tcW w:w="1216" w:type="dxa"/>
            <w:tcBorders>
              <w:left w:val="single" w:sz="2" w:space="0" w:color="000000"/>
              <w:bottom w:val="single" w:sz="2" w:space="0" w:color="000000"/>
            </w:tcBorders>
            <w:shd w:fill="FFFFFF" w:val="clear"/>
            <w:vAlign w:val="center"/>
          </w:tcPr>
          <w:p>
            <w:pPr>
              <w:pStyle w:val="Normal"/>
              <w:widowControl w:val="false"/>
              <w:bidi w:val="0"/>
              <w:spacing w:lineRule="auto" w:line="240" w:before="0" w:after="0"/>
              <w:ind w:left="0" w:right="113" w:hanging="0"/>
              <w:jc w:val="right"/>
              <w:rPr>
                <w:bCs/>
              </w:rPr>
            </w:pPr>
            <w:r>
              <w:rPr>
                <w:bCs/>
              </w:rPr>
              <w:t>1.041,70</w:t>
            </w:r>
          </w:p>
        </w:tc>
        <w:tc>
          <w:tcPr>
            <w:tcW w:w="1200" w:type="dxa"/>
            <w:tcBorders>
              <w:left w:val="single" w:sz="2" w:space="0" w:color="000000"/>
              <w:bottom w:val="single" w:sz="2" w:space="0" w:color="000000"/>
            </w:tcBorders>
            <w:shd w:fill="FFFFFF" w:val="clear"/>
            <w:vAlign w:val="center"/>
          </w:tcPr>
          <w:p>
            <w:pPr>
              <w:pStyle w:val="Normal"/>
              <w:widowControl w:val="false"/>
              <w:bidi w:val="0"/>
              <w:spacing w:lineRule="auto" w:line="240" w:before="0" w:after="0"/>
              <w:ind w:left="0" w:right="113" w:hanging="0"/>
              <w:jc w:val="right"/>
              <w:rPr>
                <w:bCs/>
              </w:rPr>
            </w:pPr>
            <w:r>
              <w:rPr>
                <w:rFonts w:eastAsia="" w:cs="" w:cstheme="minorBidi" w:eastAsiaTheme="minorEastAsia"/>
                <w:bCs/>
                <w:color w:val="auto"/>
                <w:kern w:val="0"/>
                <w:sz w:val="22"/>
                <w:szCs w:val="22"/>
                <w:lang w:val="tr-TR" w:eastAsia="tr-TR" w:bidi="ar-SA"/>
              </w:rPr>
              <w:t>1.179,20</w:t>
            </w:r>
          </w:p>
        </w:tc>
        <w:tc>
          <w:tcPr>
            <w:tcW w:w="1200" w:type="dxa"/>
            <w:tcBorders>
              <w:left w:val="single" w:sz="2" w:space="0" w:color="000000"/>
              <w:bottom w:val="single" w:sz="2" w:space="0" w:color="000000"/>
            </w:tcBorders>
            <w:shd w:fill="FFFFFF" w:val="clear"/>
            <w:vAlign w:val="center"/>
          </w:tcPr>
          <w:p>
            <w:pPr>
              <w:pStyle w:val="Normal"/>
              <w:widowControl w:val="false"/>
              <w:bidi w:val="0"/>
              <w:spacing w:lineRule="auto" w:line="240" w:before="0" w:after="0"/>
              <w:ind w:left="0" w:right="113" w:hanging="0"/>
              <w:jc w:val="right"/>
              <w:rPr>
                <w:bCs/>
              </w:rPr>
            </w:pPr>
            <w:r>
              <w:rPr>
                <w:bCs/>
              </w:rPr>
              <w:t>1.384,90</w:t>
            </w:r>
          </w:p>
        </w:tc>
        <w:tc>
          <w:tcPr>
            <w:tcW w:w="1214" w:type="dxa"/>
            <w:tcBorders>
              <w:left w:val="single" w:sz="2" w:space="0" w:color="000000"/>
              <w:bottom w:val="single" w:sz="2" w:space="0" w:color="000000"/>
            </w:tcBorders>
            <w:shd w:fill="FFFFFF" w:val="clear"/>
            <w:vAlign w:val="center"/>
          </w:tcPr>
          <w:p>
            <w:pPr>
              <w:pStyle w:val="Normal"/>
              <w:widowControl w:val="false"/>
              <w:bidi w:val="0"/>
              <w:spacing w:lineRule="auto" w:line="240" w:before="0" w:after="0"/>
              <w:ind w:left="0" w:right="113" w:hanging="0"/>
              <w:jc w:val="right"/>
              <w:rPr>
                <w:bCs/>
              </w:rPr>
            </w:pPr>
            <w:r>
              <w:rPr>
                <w:bCs/>
              </w:rPr>
              <w:t>1.662,10</w:t>
            </w:r>
          </w:p>
        </w:tc>
        <w:tc>
          <w:tcPr>
            <w:tcW w:w="1215" w:type="dxa"/>
            <w:tcBorders>
              <w:left w:val="single" w:sz="2" w:space="0" w:color="000000"/>
              <w:bottom w:val="single" w:sz="2" w:space="0" w:color="000000"/>
            </w:tcBorders>
            <w:shd w:fill="FFFFFF" w:val="clear"/>
            <w:vAlign w:val="center"/>
          </w:tcPr>
          <w:p>
            <w:pPr>
              <w:pStyle w:val="Normal"/>
              <w:widowControl w:val="false"/>
              <w:bidi w:val="0"/>
              <w:spacing w:lineRule="auto" w:line="240" w:before="0" w:after="0"/>
              <w:ind w:left="0" w:right="113" w:hanging="0"/>
              <w:jc w:val="right"/>
              <w:rPr>
                <w:bCs/>
              </w:rPr>
            </w:pPr>
            <w:r>
              <w:rPr>
                <w:bCs/>
              </w:rPr>
              <w:t>1.939,30</w:t>
            </w:r>
          </w:p>
        </w:tc>
        <w:tc>
          <w:tcPr>
            <w:tcW w:w="1201" w:type="dxa"/>
            <w:tcBorders>
              <w:left w:val="single" w:sz="2" w:space="0" w:color="000000"/>
              <w:bottom w:val="single" w:sz="2" w:space="0" w:color="000000"/>
            </w:tcBorders>
            <w:shd w:fill="FFFFFF" w:val="clear"/>
            <w:vAlign w:val="center"/>
          </w:tcPr>
          <w:p>
            <w:pPr>
              <w:pStyle w:val="Normal"/>
              <w:widowControl w:val="false"/>
              <w:bidi w:val="0"/>
              <w:spacing w:lineRule="auto" w:line="240" w:before="0" w:after="0"/>
              <w:ind w:left="0" w:right="113" w:hanging="0"/>
              <w:jc w:val="right"/>
              <w:rPr>
                <w:bCs/>
              </w:rPr>
            </w:pPr>
            <w:r>
              <w:rPr>
                <w:bCs/>
              </w:rPr>
              <w:t>2.216,50</w:t>
            </w:r>
          </w:p>
        </w:tc>
        <w:tc>
          <w:tcPr>
            <w:tcW w:w="1198" w:type="dxa"/>
            <w:tcBorders>
              <w:left w:val="single" w:sz="2" w:space="0" w:color="000000"/>
              <w:bottom w:val="single" w:sz="2" w:space="0" w:color="000000"/>
              <w:right w:val="single" w:sz="2" w:space="0" w:color="000000"/>
            </w:tcBorders>
            <w:shd w:fill="FFFFFF" w:val="clear"/>
            <w:vAlign w:val="center"/>
          </w:tcPr>
          <w:p>
            <w:pPr>
              <w:pStyle w:val="Normal"/>
              <w:widowControl w:val="false"/>
              <w:bidi w:val="0"/>
              <w:spacing w:lineRule="auto" w:line="240" w:before="0" w:after="0"/>
              <w:ind w:left="0" w:right="113" w:hanging="0"/>
              <w:jc w:val="right"/>
              <w:rPr>
                <w:bCs/>
              </w:rPr>
            </w:pPr>
            <w:r>
              <w:rPr>
                <w:bCs/>
              </w:rPr>
              <w:t>2.493,70</w:t>
            </w:r>
          </w:p>
        </w:tc>
      </w:tr>
      <w:tr>
        <w:trPr>
          <w:trHeight w:val="454" w:hRule="atLeast"/>
        </w:trPr>
        <w:tc>
          <w:tcPr>
            <w:tcW w:w="1139" w:type="dxa"/>
            <w:tcBorders>
              <w:left w:val="single" w:sz="2" w:space="0" w:color="000000"/>
              <w:bottom w:val="single" w:sz="2" w:space="0" w:color="000000"/>
            </w:tcBorders>
            <w:shd w:fill="FFFFFF" w:val="clear"/>
            <w:vAlign w:val="center"/>
          </w:tcPr>
          <w:p>
            <w:pPr>
              <w:pStyle w:val="Normal"/>
              <w:widowControl w:val="false"/>
              <w:spacing w:lineRule="auto" w:line="240" w:before="0" w:after="0"/>
              <w:jc w:val="center"/>
              <w:rPr>
                <w:b/>
                <w:b/>
                <w:bCs/>
                <w:color w:val="000000"/>
              </w:rPr>
            </w:pPr>
            <w:r>
              <w:rPr>
                <w:b/>
                <w:bCs/>
                <w:color w:val="000000"/>
              </w:rPr>
              <w:t>KDV (%20)</w:t>
            </w:r>
          </w:p>
        </w:tc>
        <w:tc>
          <w:tcPr>
            <w:tcW w:w="1216" w:type="dxa"/>
            <w:tcBorders>
              <w:left w:val="single" w:sz="2" w:space="0" w:color="000000"/>
              <w:bottom w:val="single" w:sz="2" w:space="0" w:color="000000"/>
            </w:tcBorders>
            <w:shd w:fill="FFFFFF" w:val="clear"/>
            <w:vAlign w:val="center"/>
          </w:tcPr>
          <w:p>
            <w:pPr>
              <w:pStyle w:val="Normal"/>
              <w:widowControl w:val="false"/>
              <w:bidi w:val="0"/>
              <w:spacing w:lineRule="auto" w:line="240" w:before="0" w:after="0"/>
              <w:ind w:left="0" w:right="113" w:hanging="0"/>
              <w:jc w:val="right"/>
              <w:rPr>
                <w:bCs/>
              </w:rPr>
            </w:pPr>
            <w:r>
              <w:rPr>
                <w:bCs/>
              </w:rPr>
              <w:t>208,34</w:t>
            </w:r>
          </w:p>
        </w:tc>
        <w:tc>
          <w:tcPr>
            <w:tcW w:w="1200" w:type="dxa"/>
            <w:tcBorders>
              <w:left w:val="single" w:sz="2" w:space="0" w:color="000000"/>
              <w:bottom w:val="single" w:sz="2" w:space="0" w:color="000000"/>
            </w:tcBorders>
            <w:shd w:fill="FFFFFF" w:val="clear"/>
            <w:vAlign w:val="center"/>
          </w:tcPr>
          <w:p>
            <w:pPr>
              <w:pStyle w:val="Normal"/>
              <w:widowControl w:val="false"/>
              <w:bidi w:val="0"/>
              <w:spacing w:lineRule="auto" w:line="240" w:before="0" w:after="0"/>
              <w:ind w:left="0" w:right="113" w:hanging="0"/>
              <w:jc w:val="right"/>
              <w:rPr>
                <w:bCs/>
              </w:rPr>
            </w:pPr>
            <w:r>
              <w:rPr>
                <w:bCs/>
              </w:rPr>
              <w:t>235,84</w:t>
            </w:r>
          </w:p>
        </w:tc>
        <w:tc>
          <w:tcPr>
            <w:tcW w:w="1200" w:type="dxa"/>
            <w:tcBorders>
              <w:left w:val="single" w:sz="2" w:space="0" w:color="000000"/>
              <w:bottom w:val="single" w:sz="2" w:space="0" w:color="000000"/>
            </w:tcBorders>
            <w:shd w:fill="FFFFFF" w:val="clear"/>
            <w:vAlign w:val="center"/>
          </w:tcPr>
          <w:p>
            <w:pPr>
              <w:pStyle w:val="Normal"/>
              <w:widowControl w:val="false"/>
              <w:bidi w:val="0"/>
              <w:spacing w:lineRule="auto" w:line="240" w:before="0" w:after="0"/>
              <w:ind w:left="0" w:right="113" w:hanging="0"/>
              <w:jc w:val="right"/>
              <w:rPr>
                <w:bCs/>
              </w:rPr>
            </w:pPr>
            <w:r>
              <w:rPr>
                <w:bCs/>
              </w:rPr>
              <w:t>276,98</w:t>
            </w:r>
          </w:p>
        </w:tc>
        <w:tc>
          <w:tcPr>
            <w:tcW w:w="1214" w:type="dxa"/>
            <w:tcBorders>
              <w:left w:val="single" w:sz="2" w:space="0" w:color="000000"/>
              <w:bottom w:val="single" w:sz="2" w:space="0" w:color="000000"/>
            </w:tcBorders>
            <w:shd w:fill="FFFFFF" w:val="clear"/>
            <w:vAlign w:val="center"/>
          </w:tcPr>
          <w:p>
            <w:pPr>
              <w:pStyle w:val="Normal"/>
              <w:widowControl w:val="false"/>
              <w:bidi w:val="0"/>
              <w:spacing w:lineRule="auto" w:line="240" w:before="0" w:after="0"/>
              <w:ind w:left="0" w:right="113" w:hanging="0"/>
              <w:jc w:val="right"/>
              <w:rPr>
                <w:bCs/>
              </w:rPr>
            </w:pPr>
            <w:r>
              <w:rPr>
                <w:bCs/>
              </w:rPr>
              <w:t>332,42</w:t>
            </w:r>
          </w:p>
        </w:tc>
        <w:tc>
          <w:tcPr>
            <w:tcW w:w="1215" w:type="dxa"/>
            <w:tcBorders>
              <w:left w:val="single" w:sz="2" w:space="0" w:color="000000"/>
              <w:bottom w:val="single" w:sz="2" w:space="0" w:color="000000"/>
            </w:tcBorders>
            <w:shd w:fill="FFFFFF" w:val="clear"/>
            <w:vAlign w:val="center"/>
          </w:tcPr>
          <w:p>
            <w:pPr>
              <w:pStyle w:val="Normal"/>
              <w:widowControl w:val="false"/>
              <w:bidi w:val="0"/>
              <w:spacing w:lineRule="auto" w:line="240" w:before="0" w:after="0"/>
              <w:ind w:left="0" w:right="113" w:hanging="0"/>
              <w:jc w:val="right"/>
              <w:rPr>
                <w:bCs/>
              </w:rPr>
            </w:pPr>
            <w:r>
              <w:rPr>
                <w:bCs/>
              </w:rPr>
              <w:t>387,86</w:t>
            </w:r>
          </w:p>
        </w:tc>
        <w:tc>
          <w:tcPr>
            <w:tcW w:w="1201" w:type="dxa"/>
            <w:tcBorders>
              <w:left w:val="single" w:sz="2" w:space="0" w:color="000000"/>
              <w:bottom w:val="single" w:sz="2" w:space="0" w:color="000000"/>
            </w:tcBorders>
            <w:shd w:fill="FFFFFF" w:val="clear"/>
            <w:vAlign w:val="center"/>
          </w:tcPr>
          <w:p>
            <w:pPr>
              <w:pStyle w:val="Normal"/>
              <w:widowControl w:val="false"/>
              <w:bidi w:val="0"/>
              <w:spacing w:lineRule="auto" w:line="240" w:before="0" w:after="0"/>
              <w:ind w:left="0" w:right="113" w:hanging="0"/>
              <w:jc w:val="right"/>
              <w:rPr>
                <w:bCs/>
              </w:rPr>
            </w:pPr>
            <w:r>
              <w:rPr>
                <w:bCs/>
              </w:rPr>
              <w:t>443,30</w:t>
            </w:r>
          </w:p>
        </w:tc>
        <w:tc>
          <w:tcPr>
            <w:tcW w:w="1198" w:type="dxa"/>
            <w:tcBorders>
              <w:left w:val="single" w:sz="2" w:space="0" w:color="000000"/>
              <w:bottom w:val="single" w:sz="2" w:space="0" w:color="000000"/>
              <w:right w:val="single" w:sz="2" w:space="0" w:color="000000"/>
            </w:tcBorders>
            <w:shd w:fill="FFFFFF" w:val="clear"/>
            <w:vAlign w:val="center"/>
          </w:tcPr>
          <w:p>
            <w:pPr>
              <w:pStyle w:val="Normal"/>
              <w:widowControl w:val="false"/>
              <w:bidi w:val="0"/>
              <w:spacing w:lineRule="auto" w:line="240" w:before="0" w:after="0"/>
              <w:ind w:left="0" w:right="113" w:hanging="0"/>
              <w:jc w:val="right"/>
              <w:rPr>
                <w:bCs/>
              </w:rPr>
            </w:pPr>
            <w:r>
              <w:rPr>
                <w:bCs/>
              </w:rPr>
              <w:t>498,74</w:t>
            </w:r>
          </w:p>
        </w:tc>
      </w:tr>
      <w:tr>
        <w:trPr>
          <w:trHeight w:val="480" w:hRule="atLeast"/>
        </w:trPr>
        <w:tc>
          <w:tcPr>
            <w:tcW w:w="1139" w:type="dxa"/>
            <w:tcBorders>
              <w:left w:val="single" w:sz="2" w:space="0" w:color="000000"/>
              <w:bottom w:val="single" w:sz="2" w:space="0" w:color="000000"/>
            </w:tcBorders>
            <w:vAlign w:val="center"/>
          </w:tcPr>
          <w:p>
            <w:pPr>
              <w:pStyle w:val="Normal"/>
              <w:widowControl w:val="false"/>
              <w:spacing w:lineRule="auto" w:line="240" w:before="0" w:after="0"/>
              <w:jc w:val="center"/>
              <w:rPr>
                <w:b/>
                <w:b/>
                <w:bCs/>
                <w:color w:val="000000"/>
              </w:rPr>
            </w:pPr>
            <w:r>
              <w:rPr>
                <w:b/>
                <w:bCs/>
                <w:color w:val="000000"/>
              </w:rPr>
              <w:t>TOPLAM</w:t>
            </w:r>
          </w:p>
        </w:tc>
        <w:tc>
          <w:tcPr>
            <w:tcW w:w="1216" w:type="dxa"/>
            <w:tcBorders>
              <w:left w:val="single" w:sz="2" w:space="0" w:color="000000"/>
              <w:bottom w:val="single" w:sz="2" w:space="0" w:color="000000"/>
            </w:tcBorders>
            <w:vAlign w:val="center"/>
          </w:tcPr>
          <w:p>
            <w:pPr>
              <w:pStyle w:val="Normal"/>
              <w:widowControl w:val="false"/>
              <w:bidi w:val="0"/>
              <w:spacing w:lineRule="auto" w:line="240" w:before="0" w:after="0"/>
              <w:ind w:left="0" w:right="113" w:hanging="0"/>
              <w:jc w:val="right"/>
              <w:rPr>
                <w:b/>
                <w:b/>
                <w:bCs/>
              </w:rPr>
            </w:pPr>
            <w:r>
              <w:rPr>
                <w:b/>
                <w:bCs/>
              </w:rPr>
              <w:t>1.250,04</w:t>
            </w:r>
          </w:p>
        </w:tc>
        <w:tc>
          <w:tcPr>
            <w:tcW w:w="1200" w:type="dxa"/>
            <w:tcBorders>
              <w:left w:val="single" w:sz="2" w:space="0" w:color="000000"/>
              <w:bottom w:val="single" w:sz="2" w:space="0" w:color="000000"/>
            </w:tcBorders>
            <w:vAlign w:val="center"/>
          </w:tcPr>
          <w:p>
            <w:pPr>
              <w:pStyle w:val="Normal"/>
              <w:widowControl w:val="false"/>
              <w:bidi w:val="0"/>
              <w:spacing w:lineRule="auto" w:line="240" w:before="0" w:after="0"/>
              <w:ind w:left="0" w:right="113" w:hanging="0"/>
              <w:jc w:val="right"/>
              <w:rPr>
                <w:b/>
                <w:b/>
                <w:bCs/>
              </w:rPr>
            </w:pPr>
            <w:r>
              <w:rPr>
                <w:b/>
                <w:bCs/>
              </w:rPr>
              <w:t>1.415,04</w:t>
            </w:r>
          </w:p>
        </w:tc>
        <w:tc>
          <w:tcPr>
            <w:tcW w:w="1200" w:type="dxa"/>
            <w:tcBorders>
              <w:left w:val="single" w:sz="2" w:space="0" w:color="000000"/>
              <w:bottom w:val="single" w:sz="2" w:space="0" w:color="000000"/>
            </w:tcBorders>
            <w:vAlign w:val="center"/>
          </w:tcPr>
          <w:p>
            <w:pPr>
              <w:pStyle w:val="Normal"/>
              <w:widowControl w:val="false"/>
              <w:bidi w:val="0"/>
              <w:spacing w:lineRule="auto" w:line="240" w:before="0" w:after="0"/>
              <w:ind w:left="0" w:right="113" w:hanging="0"/>
              <w:jc w:val="right"/>
              <w:rPr>
                <w:b/>
                <w:b/>
                <w:bCs/>
              </w:rPr>
            </w:pPr>
            <w:r>
              <w:rPr>
                <w:b/>
                <w:bCs/>
              </w:rPr>
              <w:t>1.661,88</w:t>
            </w:r>
          </w:p>
        </w:tc>
        <w:tc>
          <w:tcPr>
            <w:tcW w:w="1214" w:type="dxa"/>
            <w:tcBorders>
              <w:left w:val="single" w:sz="2" w:space="0" w:color="000000"/>
              <w:bottom w:val="single" w:sz="2" w:space="0" w:color="000000"/>
            </w:tcBorders>
            <w:vAlign w:val="center"/>
          </w:tcPr>
          <w:p>
            <w:pPr>
              <w:pStyle w:val="Normal"/>
              <w:widowControl w:val="false"/>
              <w:bidi w:val="0"/>
              <w:spacing w:lineRule="auto" w:line="240" w:before="0" w:after="0"/>
              <w:ind w:left="0" w:right="113" w:hanging="0"/>
              <w:jc w:val="right"/>
              <w:rPr>
                <w:b/>
                <w:b/>
                <w:bCs/>
              </w:rPr>
            </w:pPr>
            <w:r>
              <w:rPr>
                <w:b/>
                <w:bCs/>
              </w:rPr>
              <w:t>1.994,52</w:t>
            </w:r>
          </w:p>
        </w:tc>
        <w:tc>
          <w:tcPr>
            <w:tcW w:w="1215" w:type="dxa"/>
            <w:tcBorders>
              <w:left w:val="single" w:sz="2" w:space="0" w:color="000000"/>
              <w:bottom w:val="single" w:sz="2" w:space="0" w:color="000000"/>
            </w:tcBorders>
            <w:vAlign w:val="center"/>
          </w:tcPr>
          <w:p>
            <w:pPr>
              <w:pStyle w:val="Normal"/>
              <w:widowControl w:val="false"/>
              <w:bidi w:val="0"/>
              <w:spacing w:lineRule="auto" w:line="240" w:before="0" w:after="0"/>
              <w:ind w:left="0" w:right="113" w:hanging="0"/>
              <w:jc w:val="right"/>
              <w:rPr>
                <w:b/>
                <w:b/>
                <w:bCs/>
              </w:rPr>
            </w:pPr>
            <w:r>
              <w:rPr>
                <w:rFonts w:eastAsia="" w:cs="" w:cstheme="minorBidi" w:eastAsiaTheme="minorEastAsia"/>
                <w:b/>
                <w:bCs/>
                <w:color w:val="auto"/>
                <w:kern w:val="0"/>
                <w:sz w:val="22"/>
                <w:szCs w:val="22"/>
                <w:lang w:val="tr-TR" w:eastAsia="tr-TR" w:bidi="ar-SA"/>
              </w:rPr>
              <w:t>2.327,16</w:t>
            </w:r>
          </w:p>
        </w:tc>
        <w:tc>
          <w:tcPr>
            <w:tcW w:w="1201" w:type="dxa"/>
            <w:tcBorders>
              <w:left w:val="single" w:sz="2" w:space="0" w:color="000000"/>
              <w:bottom w:val="single" w:sz="2" w:space="0" w:color="000000"/>
            </w:tcBorders>
            <w:vAlign w:val="center"/>
          </w:tcPr>
          <w:p>
            <w:pPr>
              <w:pStyle w:val="Normal"/>
              <w:widowControl w:val="false"/>
              <w:bidi w:val="0"/>
              <w:spacing w:lineRule="auto" w:line="240" w:before="0" w:after="0"/>
              <w:ind w:left="0" w:right="113" w:hanging="0"/>
              <w:jc w:val="right"/>
              <w:rPr>
                <w:b/>
                <w:b/>
                <w:bCs/>
              </w:rPr>
            </w:pPr>
            <w:r>
              <w:rPr>
                <w:b/>
                <w:bCs/>
              </w:rPr>
              <w:t>2.659,80</w:t>
            </w:r>
          </w:p>
        </w:tc>
        <w:tc>
          <w:tcPr>
            <w:tcW w:w="1198" w:type="dxa"/>
            <w:tcBorders>
              <w:left w:val="single" w:sz="2" w:space="0" w:color="000000"/>
              <w:bottom w:val="single" w:sz="2" w:space="0" w:color="000000"/>
              <w:right w:val="single" w:sz="2" w:space="0" w:color="000000"/>
            </w:tcBorders>
            <w:vAlign w:val="center"/>
          </w:tcPr>
          <w:p>
            <w:pPr>
              <w:pStyle w:val="Normal"/>
              <w:widowControl w:val="false"/>
              <w:bidi w:val="0"/>
              <w:spacing w:lineRule="auto" w:line="240" w:before="0" w:after="0"/>
              <w:ind w:left="0" w:right="113" w:hanging="0"/>
              <w:jc w:val="right"/>
              <w:rPr>
                <w:b/>
                <w:b/>
                <w:bCs/>
              </w:rPr>
            </w:pPr>
            <w:r>
              <w:rPr>
                <w:b/>
                <w:bCs/>
              </w:rPr>
              <w:t>2.992,44</w:t>
            </w:r>
          </w:p>
        </w:tc>
      </w:tr>
      <w:tr>
        <w:trPr>
          <w:trHeight w:val="480" w:hRule="atLeast"/>
        </w:trPr>
        <w:tc>
          <w:tcPr>
            <w:tcW w:w="9583" w:type="dxa"/>
            <w:gridSpan w:val="8"/>
            <w:tcBorders>
              <w:left w:val="single" w:sz="2" w:space="0" w:color="000000"/>
              <w:bottom w:val="single" w:sz="2" w:space="0" w:color="000000"/>
              <w:right w:val="single" w:sz="2" w:space="0" w:color="000000"/>
            </w:tcBorders>
            <w:vAlign w:val="center"/>
          </w:tcPr>
          <w:p>
            <w:pPr>
              <w:pStyle w:val="Normal"/>
              <w:widowControl w:val="false"/>
              <w:spacing w:lineRule="auto" w:line="240" w:before="0" w:after="0"/>
              <w:jc w:val="both"/>
              <w:rPr>
                <w:b/>
                <w:b/>
                <w:bCs/>
                <w:color w:val="000000"/>
              </w:rPr>
            </w:pPr>
            <w:r>
              <w:rPr>
                <w:b/>
                <w:bCs/>
                <w:u w:val="single"/>
              </w:rPr>
              <w:t xml:space="preserve">    </w:t>
            </w:r>
            <w:r>
              <w:rPr>
                <w:b/>
                <w:bCs/>
                <w:u w:val="single"/>
              </w:rPr>
              <w:t>Not:</w:t>
            </w:r>
            <w:r>
              <w:rPr/>
              <w:t xml:space="preserve"> Tescil öncesi ilk periyodik kontrol ücreti, periyodik kontrol ücretinin üç katı olacak şekilde KDV dahil olarak tahsil edilir.</w:t>
            </w:r>
          </w:p>
        </w:tc>
      </w:tr>
    </w:tbl>
    <w:p>
      <w:pPr>
        <w:pStyle w:val="Normal"/>
        <w:spacing w:lineRule="auto" w:line="240" w:before="0" w:after="0"/>
        <w:jc w:val="both"/>
        <w:rPr>
          <w:rFonts w:ascii="Times New Roman" w:hAnsi="Times New Roman" w:eastAsia="Times New Roman"/>
          <w:sz w:val="30"/>
          <w:szCs w:val="30"/>
        </w:rPr>
      </w:pPr>
      <w:r>
        <w:rPr>
          <w:rFonts w:eastAsia="Times New Roman" w:ascii="Times New Roman" w:hAnsi="Times New Roman"/>
          <w:sz w:val="30"/>
          <w:szCs w:val="30"/>
        </w:rPr>
      </w:r>
    </w:p>
    <w:p>
      <w:pPr>
        <w:pStyle w:val="Normal"/>
        <w:spacing w:lineRule="auto" w:line="240" w:before="0" w:after="0"/>
        <w:jc w:val="both"/>
        <w:rPr>
          <w:rFonts w:ascii="Times New Roman" w:hAnsi="Times New Roman" w:cs="Times New Roman"/>
          <w:sz w:val="30"/>
          <w:szCs w:val="30"/>
        </w:rPr>
      </w:pPr>
      <w:r>
        <w:rPr>
          <w:rFonts w:cs="Times New Roman" w:ascii="Times New Roman" w:hAnsi="Times New Roman"/>
          <w:sz w:val="30"/>
          <w:szCs w:val="30"/>
        </w:rPr>
        <w:tab/>
        <w:t>Periyodik kontrolü yapan A tipi muayene kuruluşunca:</w:t>
      </w:r>
    </w:p>
    <w:p>
      <w:pPr>
        <w:pStyle w:val="ListParagraph"/>
        <w:numPr>
          <w:ilvl w:val="0"/>
          <w:numId w:val="1"/>
        </w:numPr>
        <w:spacing w:lineRule="auto" w:line="240" w:before="0" w:after="0"/>
        <w:contextualSpacing/>
        <w:jc w:val="both"/>
        <w:rPr>
          <w:rFonts w:ascii="Times New Roman" w:hAnsi="Times New Roman" w:cs="Times New Roman"/>
          <w:sz w:val="30"/>
          <w:szCs w:val="30"/>
        </w:rPr>
      </w:pPr>
      <w:r>
        <w:rPr>
          <w:rFonts w:cs="Times New Roman" w:ascii="Times New Roman" w:hAnsi="Times New Roman"/>
          <w:sz w:val="30"/>
          <w:szCs w:val="30"/>
        </w:rPr>
        <w:t>Kırmızı renkli bilgi etiketi iliştirilen ve güvensiz olarak tanımlanan asansörün kullanımına bina sorumlusu tarafından izin verilmez. Bu asansörün en fazla 60 (altmış) gün içerisinde güvenli hale getirilmesi bina sorumlusunca sağlanır.</w:t>
      </w:r>
    </w:p>
    <w:p>
      <w:pPr>
        <w:pStyle w:val="ListParagraph"/>
        <w:numPr>
          <w:ilvl w:val="0"/>
          <w:numId w:val="1"/>
        </w:numPr>
        <w:spacing w:lineRule="auto" w:line="240" w:before="0" w:after="0"/>
        <w:contextualSpacing/>
        <w:jc w:val="both"/>
        <w:rPr>
          <w:rFonts w:ascii="Times New Roman" w:hAnsi="Times New Roman" w:cs="Times New Roman"/>
          <w:sz w:val="30"/>
          <w:szCs w:val="30"/>
        </w:rPr>
      </w:pPr>
      <w:r>
        <w:rPr>
          <w:rFonts w:cs="Times New Roman" w:ascii="Times New Roman" w:hAnsi="Times New Roman"/>
          <w:sz w:val="30"/>
          <w:szCs w:val="30"/>
        </w:rPr>
        <w:t>Sarı renkli bilgi etiketi iliştirilen ve kusurlu olarak tanımlanan asansördeki uygunsuzlukların en fazla 120 (yüz yirmi) gün içerisinde giderilmesi bina sorumlusunca sağlanır.</w:t>
      </w:r>
    </w:p>
    <w:p>
      <w:pPr>
        <w:pStyle w:val="ListParagraph"/>
        <w:numPr>
          <w:ilvl w:val="0"/>
          <w:numId w:val="1"/>
        </w:numPr>
        <w:spacing w:lineRule="auto" w:line="240" w:before="0" w:after="0"/>
        <w:contextualSpacing/>
        <w:jc w:val="both"/>
        <w:rPr>
          <w:rFonts w:ascii="Times New Roman" w:hAnsi="Times New Roman" w:cs="Times New Roman"/>
          <w:sz w:val="30"/>
          <w:szCs w:val="30"/>
        </w:rPr>
      </w:pPr>
      <w:r>
        <w:rPr>
          <w:rFonts w:cs="Times New Roman" w:ascii="Times New Roman" w:hAnsi="Times New Roman"/>
          <w:sz w:val="30"/>
          <w:szCs w:val="30"/>
        </w:rPr>
        <w:t>Bu sürelerin sonunda, ilk takip kontrolü muayene kuruluşunca ücretsiz olarak yapılır. İkinci veya sonraki takip kontrollerinde, periyodik kontrol ücreti yeniden alınır. Takip kontrolü neticesinde güvenli hale getirilmediği belirlenen asansör, Belediyemiz tarafından mühürlenerek hizmetten men edilir.</w:t>
      </w:r>
    </w:p>
    <w:p>
      <w:pPr>
        <w:pStyle w:val="ListParagraph"/>
        <w:numPr>
          <w:ilvl w:val="0"/>
          <w:numId w:val="1"/>
        </w:numPr>
        <w:spacing w:lineRule="auto" w:line="240" w:before="0" w:after="0"/>
        <w:contextualSpacing/>
        <w:jc w:val="both"/>
        <w:rPr>
          <w:rFonts w:ascii="Times New Roman" w:hAnsi="Times New Roman" w:cs="Times New Roman"/>
          <w:sz w:val="30"/>
          <w:szCs w:val="30"/>
        </w:rPr>
      </w:pPr>
      <w:r>
        <w:rPr>
          <w:rFonts w:cs="Times New Roman" w:ascii="Times New Roman" w:hAnsi="Times New Roman"/>
          <w:sz w:val="30"/>
          <w:szCs w:val="30"/>
        </w:rPr>
        <w:t>Bina sorumlusunca periyodik kontrolüne izin verilmeyen asansör, muayene kuruluşunca Bakanlık veri tabanına ve mühürlenerek hizmetten men edilmesi için Belediyemize bildirilir.</w:t>
      </w:r>
    </w:p>
    <w:p>
      <w:pPr>
        <w:pStyle w:val="Normal"/>
        <w:spacing w:lineRule="auto" w:line="240" w:before="0" w:after="0"/>
        <w:ind w:firstLine="708"/>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708"/>
        <w:jc w:val="both"/>
        <w:rPr>
          <w:rFonts w:ascii="Times New Roman" w:hAnsi="Times New Roman" w:cs="Times New Roman"/>
          <w:sz w:val="30"/>
          <w:szCs w:val="30"/>
        </w:rPr>
      </w:pPr>
      <w:r>
        <w:rPr>
          <w:rFonts w:cs="Times New Roman" w:ascii="Times New Roman" w:hAnsi="Times New Roman"/>
          <w:sz w:val="30"/>
          <w:szCs w:val="30"/>
        </w:rPr>
        <w:t>Ayrıca, 06/04/2019 tarihli ve 30737 sayılı Resmî Gazete’de yayımlanan Asansör İşletme ve Bakım Yönetmeliği’nin 14’üncü maddesinde:</w:t>
      </w:r>
    </w:p>
    <w:p>
      <w:pPr>
        <w:pStyle w:val="Normal"/>
        <w:spacing w:lineRule="atLeast" w:line="240" w:before="0" w:after="0"/>
        <w:ind w:firstLine="566"/>
        <w:jc w:val="both"/>
        <w:rPr>
          <w:rFonts w:eastAsia="Times New Roman" w:cs="Calibri" w:cstheme="minorHAnsi"/>
          <w:i/>
          <w:i/>
          <w:sz w:val="28"/>
          <w:szCs w:val="28"/>
        </w:rPr>
      </w:pPr>
      <w:r>
        <w:rPr>
          <w:rFonts w:cs="Calibri" w:cstheme="minorHAnsi"/>
          <w:i/>
          <w:sz w:val="28"/>
          <w:szCs w:val="28"/>
        </w:rPr>
        <w:t>"</w:t>
      </w:r>
      <w:r>
        <w:rPr>
          <w:rFonts w:eastAsia="Times New Roman" w:cs="Calibri" w:cstheme="minorHAnsi"/>
          <w:i/>
          <w:sz w:val="28"/>
          <w:szCs w:val="28"/>
        </w:rPr>
        <w:t>(1) Bina sorumlusu, asansörün güvenli bir şekilde çalışmasını sağlamak üzere asansör monte eden veya onun yetkili servisi ile bakım sözleşmesi imzalamaktan, bakımını yaptırmaktan ve bakım ücretinin ödenmesinden sorumludur.</w:t>
      </w:r>
    </w:p>
    <w:p>
      <w:pPr>
        <w:pStyle w:val="Normal"/>
        <w:spacing w:lineRule="atLeast" w:line="240" w:before="0" w:after="0"/>
        <w:ind w:firstLine="566"/>
        <w:jc w:val="both"/>
        <w:rPr>
          <w:rFonts w:eastAsia="Times New Roman" w:cs="Calibri" w:cstheme="minorHAnsi"/>
          <w:i/>
          <w:i/>
          <w:sz w:val="28"/>
          <w:szCs w:val="28"/>
        </w:rPr>
      </w:pPr>
      <w:r>
        <w:rPr>
          <w:rFonts w:eastAsia="Times New Roman" w:cs="Calibri" w:cstheme="minorHAnsi"/>
          <w:i/>
          <w:sz w:val="28"/>
          <w:szCs w:val="28"/>
        </w:rPr>
        <w:t>(2) Bina sorumlusu, engellilerin erişilebilirliği için asansörün güvenli bir şekilde sürekli olarak çalıştırılmasını sağlar. Kamuya açık alanlarla ilgili olarak birinci cümlede belirtilen konuya ilişkin şikâyetler ilgisi nedeniyle Valilik bünyesinde bulunan erişilebilirlik izleme ve denetleme komisyonuna, konutlarla/meskenlerle ilgili şikâyetler ise konutun/meskenin bağlı bulunduğu ilgili idaresine iletilir.</w:t>
      </w:r>
    </w:p>
    <w:p>
      <w:pPr>
        <w:pStyle w:val="Normal"/>
        <w:spacing w:lineRule="auto" w:line="240" w:before="0" w:after="0"/>
        <w:ind w:firstLine="566"/>
        <w:jc w:val="both"/>
        <w:rPr>
          <w:rFonts w:ascii="Times New Roman" w:hAnsi="Times New Roman" w:cs="Times New Roman"/>
          <w:sz w:val="30"/>
          <w:szCs w:val="30"/>
        </w:rPr>
      </w:pPr>
      <w:r>
        <w:rPr>
          <w:rFonts w:eastAsia="Times New Roman" w:cs="Calibri" w:cstheme="minorHAnsi"/>
          <w:i/>
          <w:sz w:val="28"/>
          <w:szCs w:val="28"/>
        </w:rPr>
        <w:t>(3) Bina sorumlusu, asansörle ilgili herhangi bir tehlikeli durumu bakım sözleşmesi imzalanan asansör monte eden veya onun yetkili servisine iletir ve söz konusu asansöre, asansör monte eden veya onun yetkili servisi tarafından müdahale edilene kadar gerekli güvenlik tedbirini alır</w:t>
      </w:r>
      <w:r>
        <w:rPr>
          <w:rFonts w:eastAsia="Times New Roman" w:cs="Times New Roman" w:ascii="Times New Roman" w:hAnsi="Times New Roman"/>
          <w:sz w:val="18"/>
          <w:szCs w:val="18"/>
        </w:rPr>
        <w:t>.</w:t>
      </w:r>
      <w:r>
        <w:rPr>
          <w:rFonts w:cs="Calibri" w:cstheme="minorHAnsi"/>
          <w:i/>
          <w:sz w:val="28"/>
          <w:szCs w:val="28"/>
        </w:rPr>
        <w:t>”</w:t>
      </w:r>
      <w:r>
        <w:rPr>
          <w:rFonts w:cs="Times New Roman" w:ascii="Times New Roman" w:hAnsi="Times New Roman"/>
          <w:sz w:val="28"/>
          <w:szCs w:val="28"/>
        </w:rPr>
        <w:t xml:space="preserve"> </w:t>
      </w:r>
      <w:r>
        <w:rPr>
          <w:rFonts w:cs="Times New Roman" w:ascii="Times New Roman" w:hAnsi="Times New Roman"/>
          <w:sz w:val="30"/>
          <w:szCs w:val="30"/>
        </w:rPr>
        <w:t>denilmektedir.</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708"/>
        <w:jc w:val="both"/>
        <w:rPr>
          <w:rFonts w:ascii="Times New Roman" w:hAnsi="Times New Roman" w:cs="Times New Roman"/>
          <w:sz w:val="30"/>
          <w:szCs w:val="30"/>
        </w:rPr>
      </w:pPr>
      <w:r>
        <w:rPr>
          <w:rFonts w:cs="Times New Roman" w:ascii="Times New Roman" w:hAnsi="Times New Roman"/>
          <w:sz w:val="30"/>
          <w:szCs w:val="30"/>
        </w:rPr>
        <w:t>Bahsi geçen Yönetmeliklere aykırı davranışlarda bulunanlara, Bakanlık tarafından 1705 sayılı Kanunun 6’ncı maddesinde belirtilen idari para cezasının uygulanacağı unutulmamalıdır.</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firstLine="708"/>
        <w:jc w:val="both"/>
        <w:rPr>
          <w:rFonts w:ascii="Times New Roman" w:hAnsi="Times New Roman" w:cs="Times New Roman"/>
          <w:sz w:val="30"/>
          <w:szCs w:val="30"/>
        </w:rPr>
      </w:pPr>
      <w:r>
        <w:rPr>
          <w:rFonts w:cs="Times New Roman" w:ascii="Times New Roman" w:hAnsi="Times New Roman"/>
          <w:sz w:val="30"/>
          <w:szCs w:val="30"/>
        </w:rPr>
        <w:t>Bu kapsamda, hemşehrilerimize binalarında / yapılarında / sitelerinde kullanımda olan asansörlerine yılda en az bir defa periyodik kontrol yaptırmalarını; asansör(ler)den kaynaklı can ve mal kayıplarından doğrudan sorumlu olacaklarını hatırlatarak, konunun dikkate alınması kamuoyuna saygı ile duyurulur.</w:t>
      </w:r>
    </w:p>
    <w:p>
      <w:pPr>
        <w:pStyle w:val="Normal"/>
        <w:spacing w:lineRule="auto" w:line="240" w:before="0" w:after="0"/>
        <w:ind w:firstLine="708"/>
        <w:jc w:val="both"/>
        <w:rPr>
          <w:rFonts w:ascii="Times New Roman" w:hAnsi="Times New Roman" w:cs="Times New Roman"/>
          <w:sz w:val="30"/>
          <w:szCs w:val="30"/>
        </w:rPr>
      </w:pPr>
      <w:r>
        <w:rPr>
          <w:rFonts w:cs="Times New Roman" w:ascii="Times New Roman" w:hAnsi="Times New Roman"/>
          <w:sz w:val="30"/>
          <w:szCs w:val="30"/>
        </w:rPr>
      </w:r>
    </w:p>
    <w:p>
      <w:pPr>
        <w:pStyle w:val="Normal"/>
        <w:spacing w:lineRule="auto" w:line="240" w:before="0" w:after="0"/>
        <w:ind w:firstLine="708"/>
        <w:jc w:val="both"/>
        <w:rPr>
          <w:rFonts w:ascii="Times New Roman" w:hAnsi="Times New Roman" w:cs="Times New Roman"/>
          <w:sz w:val="30"/>
          <w:szCs w:val="30"/>
        </w:rPr>
      </w:pPr>
      <w:r>
        <w:rPr>
          <w:rFonts w:cs="Times New Roman" w:ascii="Times New Roman" w:hAnsi="Times New Roman"/>
          <w:sz w:val="30"/>
          <w:szCs w:val="30"/>
        </w:rPr>
      </w:r>
    </w:p>
    <w:p>
      <w:pPr>
        <w:pStyle w:val="Normal"/>
        <w:spacing w:lineRule="auto" w:line="240" w:before="0" w:after="0"/>
        <w:ind w:firstLine="708"/>
        <w:jc w:val="both"/>
        <w:rPr>
          <w:rFonts w:ascii="Times New Roman" w:hAnsi="Times New Roman" w:cs="Times New Roman"/>
          <w:sz w:val="30"/>
          <w:szCs w:val="30"/>
        </w:rPr>
      </w:pPr>
      <w:r>
        <w:rPr>
          <w:rFonts w:cs="Times New Roman" w:ascii="Times New Roman" w:hAnsi="Times New Roman"/>
          <w:sz w:val="30"/>
          <w:szCs w:val="30"/>
        </w:rPr>
      </w:r>
    </w:p>
    <w:p>
      <w:pPr>
        <w:pStyle w:val="Normal"/>
        <w:spacing w:lineRule="auto" w:line="240" w:before="0" w:after="0"/>
        <w:ind w:firstLine="708"/>
        <w:jc w:val="right"/>
        <w:rPr>
          <w:rFonts w:ascii="Times New Roman" w:hAnsi="Times New Roman" w:cs="Times New Roman"/>
          <w:b/>
          <w:b/>
          <w:sz w:val="30"/>
          <w:szCs w:val="30"/>
        </w:rPr>
      </w:pPr>
      <w:r>
        <w:rPr>
          <w:rFonts w:cs="Times New Roman" w:ascii="Times New Roman" w:hAnsi="Times New Roman"/>
          <w:b/>
          <w:sz w:val="30"/>
          <w:szCs w:val="30"/>
        </w:rPr>
        <w:t>BAYRAKLI BELEDİYESİ</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tbl>
      <w:tblPr>
        <w:tblStyle w:val="TabloKlavuzu"/>
        <w:tblW w:w="9645" w:type="dxa"/>
        <w:jc w:val="left"/>
        <w:tblInd w:w="108" w:type="dxa"/>
        <w:tblLayout w:type="fixed"/>
        <w:tblCellMar>
          <w:top w:w="0" w:type="dxa"/>
          <w:left w:w="108" w:type="dxa"/>
          <w:bottom w:w="0" w:type="dxa"/>
          <w:right w:w="108" w:type="dxa"/>
        </w:tblCellMar>
        <w:tblLook w:val="04a0"/>
      </w:tblPr>
      <w:tblGrid>
        <w:gridCol w:w="3257"/>
        <w:gridCol w:w="3088"/>
        <w:gridCol w:w="3300"/>
      </w:tblGrid>
      <w:tr>
        <w:trPr>
          <w:trHeight w:val="1035" w:hRule="atLeast"/>
        </w:trPr>
        <w:tc>
          <w:tcPr>
            <w:tcW w:w="6345" w:type="dxa"/>
            <w:gridSpan w:val="2"/>
            <w:tcBorders>
              <w:top w:val="single" w:sz="24" w:space="0" w:color="000000"/>
              <w:left w:val="single" w:sz="24" w:space="0" w:color="000000"/>
              <w:bottom w:val="single" w:sz="2" w:space="0" w:color="000000"/>
              <w:right w:val="single" w:sz="24" w:space="0" w:color="000000"/>
            </w:tcBorders>
            <w:vAlign w:val="center"/>
          </w:tcPr>
          <w:p>
            <w:pPr>
              <w:pStyle w:val="Normal"/>
              <w:widowControl w:val="false"/>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t>Bayraklı Belediyesi</w:t>
            </w:r>
          </w:p>
        </w:tc>
        <w:tc>
          <w:tcPr>
            <w:tcW w:w="3300" w:type="dxa"/>
            <w:tcBorders>
              <w:top w:val="single" w:sz="24" w:space="0" w:color="000000"/>
              <w:left w:val="single" w:sz="24" w:space="0" w:color="000000"/>
              <w:right w:val="single" w:sz="24" w:space="0" w:color="000000"/>
            </w:tcBorders>
            <w:vAlign w:val="center"/>
          </w:tcPr>
          <w:p>
            <w:pPr>
              <w:pStyle w:val="Normal"/>
              <w:widowControl w:val="false"/>
              <w:spacing w:lineRule="auto" w:line="240" w:before="0" w:after="0"/>
              <w:jc w:val="center"/>
              <w:rPr>
                <w:rFonts w:ascii="Times New Roman" w:hAnsi="Times New Roman" w:cs="Times New Roman"/>
                <w:color w:val="000000" w:themeColor="text1"/>
                <w:sz w:val="28"/>
                <w:szCs w:val="28"/>
              </w:rPr>
            </w:pPr>
            <w:r>
              <w:rPr>
                <w:rFonts w:cs="Times New Roman" w:ascii="Times New Roman" w:hAnsi="Times New Roman"/>
                <w:b/>
                <w:sz w:val="28"/>
                <w:szCs w:val="28"/>
              </w:rPr>
              <w:t>A Tipi Muayene Kuruluşu</w:t>
            </w:r>
          </w:p>
        </w:tc>
      </w:tr>
      <w:tr>
        <w:trPr>
          <w:trHeight w:val="1035" w:hRule="atLeast"/>
        </w:trPr>
        <w:tc>
          <w:tcPr>
            <w:tcW w:w="3257" w:type="dxa"/>
            <w:tcBorders>
              <w:left w:val="single" w:sz="24" w:space="0" w:color="000000"/>
              <w:right w:val="single" w:sz="2" w:space="0" w:color="000000"/>
            </w:tcBorders>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Tescil İşlemleri</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(İmar ve Şehircilik Müdürlüğü)</w:t>
            </w:r>
          </w:p>
        </w:tc>
        <w:tc>
          <w:tcPr>
            <w:tcW w:w="3088" w:type="dxa"/>
            <w:tcBorders>
              <w:top w:val="single" w:sz="2" w:space="0" w:color="000000"/>
              <w:left w:val="single" w:sz="2" w:space="0" w:color="000000"/>
              <w:bottom w:val="single" w:sz="2" w:space="0" w:color="000000"/>
              <w:right w:val="single" w:sz="24" w:space="0" w:color="000000"/>
            </w:tcBorders>
            <w:vAlign w:val="center"/>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Periyodik Kontrol İşlemleri</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(Fen İşleri Müdürlüğü)</w:t>
            </w:r>
          </w:p>
        </w:tc>
        <w:tc>
          <w:tcPr>
            <w:tcW w:w="3300" w:type="dxa"/>
            <w:tcBorders>
              <w:left w:val="single" w:sz="24" w:space="0" w:color="000000"/>
              <w:right w:val="single" w:sz="2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color w:val="000000" w:themeColor="text1"/>
                <w:sz w:val="24"/>
                <w:szCs w:val="24"/>
              </w:rPr>
              <w:t>AND Uluslararası Denetim ve Gözetim Hizmetleri A.Ş.</w:t>
            </w:r>
          </w:p>
        </w:tc>
      </w:tr>
      <w:tr>
        <w:trPr>
          <w:trHeight w:val="1035" w:hRule="atLeast"/>
        </w:trPr>
        <w:tc>
          <w:tcPr>
            <w:tcW w:w="3257" w:type="dxa"/>
            <w:tcBorders>
              <w:left w:val="single" w:sz="24" w:space="0" w:color="000000"/>
              <w:right w:val="single" w:sz="2" w:space="0" w:color="000000"/>
            </w:tcBorders>
            <w:vAlign w:val="center"/>
          </w:tcPr>
          <w:p>
            <w:pPr>
              <w:pStyle w:val="Normal"/>
              <w:widowControl w:val="false"/>
              <w:spacing w:lineRule="auto" w:line="240" w:before="0" w:after="0"/>
              <w:jc w:val="center"/>
              <w:rPr>
                <w:rFonts w:ascii="Times New Roman" w:hAnsi="Times New Roman"/>
                <w:sz w:val="24"/>
                <w:szCs w:val="24"/>
              </w:rPr>
            </w:pPr>
            <w:r>
              <w:rPr>
                <w:rFonts w:ascii="Times New Roman" w:hAnsi="Times New Roman"/>
                <w:sz w:val="24"/>
                <w:szCs w:val="24"/>
              </w:rPr>
              <w:t>Bayraklı Mah. Anadolu Cad. No: 125</w:t>
            </w:r>
          </w:p>
          <w:p>
            <w:pPr>
              <w:pStyle w:val="Normal"/>
              <w:widowControl w:val="false"/>
              <w:spacing w:lineRule="auto" w:line="240" w:before="0" w:after="0"/>
              <w:jc w:val="center"/>
              <w:rPr>
                <w:rFonts w:ascii="Times New Roman" w:hAnsi="Times New Roman" w:cs="Times New Roman"/>
                <w:sz w:val="24"/>
                <w:szCs w:val="24"/>
              </w:rPr>
            </w:pPr>
            <w:r>
              <w:rPr>
                <w:rFonts w:ascii="Times New Roman" w:hAnsi="Times New Roman"/>
                <w:sz w:val="24"/>
                <w:szCs w:val="24"/>
              </w:rPr>
              <w:t>Bayraklı / İZMİR</w:t>
            </w:r>
          </w:p>
        </w:tc>
        <w:tc>
          <w:tcPr>
            <w:tcW w:w="3088" w:type="dxa"/>
            <w:tcBorders>
              <w:top w:val="single" w:sz="2" w:space="0" w:color="000000"/>
              <w:left w:val="single" w:sz="2" w:space="0" w:color="000000"/>
              <w:bottom w:val="single" w:sz="2" w:space="0" w:color="000000"/>
              <w:right w:val="single" w:sz="2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Doğançay Mah. 7355 Sok. No: 225</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Bayraklı / İZMİR</w:t>
            </w:r>
          </w:p>
        </w:tc>
        <w:tc>
          <w:tcPr>
            <w:tcW w:w="3300" w:type="dxa"/>
            <w:tcBorders>
              <w:left w:val="single" w:sz="24" w:space="0" w:color="000000"/>
              <w:right w:val="single" w:sz="24" w:space="0" w:color="000000"/>
            </w:tcBorders>
            <w:vAlign w:val="center"/>
          </w:tcPr>
          <w:p>
            <w:pPr>
              <w:pStyle w:val="Normal"/>
              <w:widowControl w:val="false"/>
              <w:spacing w:lineRule="auto" w:line="240" w:before="0" w:after="0"/>
              <w:jc w:val="center"/>
              <w:rPr>
                <w:rFonts w:ascii="Times New Roman" w:hAnsi="Times New Roman" w:cs="Times New Roman"/>
                <w:sz w:val="24"/>
                <w:szCs w:val="24"/>
                <w:highlight w:val="white"/>
              </w:rPr>
            </w:pPr>
            <w:r>
              <w:rPr>
                <w:rFonts w:cs="Times New Roman" w:ascii="Times New Roman" w:hAnsi="Times New Roman"/>
                <w:sz w:val="24"/>
                <w:szCs w:val="24"/>
                <w:shd w:fill="FFFFFF" w:val="clear"/>
              </w:rPr>
              <w:t>Mansuroğlu Mah. 295/2 Sok. No: 1/1 Ege Sun Plaza D: 654</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shd w:fill="FFFFFF" w:val="clear"/>
              </w:rPr>
              <w:t>Bayraklı / İZMİR</w:t>
            </w:r>
          </w:p>
        </w:tc>
      </w:tr>
      <w:tr>
        <w:trPr>
          <w:trHeight w:val="1035" w:hRule="atLeast"/>
        </w:trPr>
        <w:tc>
          <w:tcPr>
            <w:tcW w:w="3257" w:type="dxa"/>
            <w:tcBorders>
              <w:left w:val="single" w:sz="24" w:space="0" w:color="000000"/>
              <w:bottom w:val="single" w:sz="24" w:space="0" w:color="000000"/>
              <w:right w:val="single" w:sz="2"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Tel: 0232 477 20 00</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Dahili: 2354 - 2355</w:t>
            </w:r>
          </w:p>
        </w:tc>
        <w:tc>
          <w:tcPr>
            <w:tcW w:w="3088" w:type="dxa"/>
            <w:tcBorders>
              <w:top w:val="single" w:sz="2" w:space="0" w:color="000000"/>
              <w:left w:val="single" w:sz="2" w:space="0" w:color="000000"/>
              <w:bottom w:val="single" w:sz="24" w:space="0" w:color="000000"/>
              <w:right w:val="single" w:sz="24" w:space="0" w:color="000000"/>
            </w:tcBorders>
            <w:vAlign w:val="center"/>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20"/>
                <w:szCs w:val="16"/>
              </w:rPr>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Tel: 0232 477 20 00 Dahili:2623-2626</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GSM-1 : 0549 827 78 32</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GSM-2 : 0549 827 78 42</w:t>
            </w:r>
          </w:p>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20"/>
                <w:szCs w:val="16"/>
              </w:rPr>
            </w:r>
          </w:p>
        </w:tc>
        <w:tc>
          <w:tcPr>
            <w:tcW w:w="3300" w:type="dxa"/>
            <w:tcBorders>
              <w:left w:val="single" w:sz="24" w:space="0" w:color="000000"/>
              <w:bottom w:val="single" w:sz="24" w:space="0" w:color="000000"/>
              <w:right w:val="single" w:sz="24" w:space="0" w:color="000000"/>
            </w:tcBorders>
            <w:vAlign w:val="center"/>
          </w:tcPr>
          <w:p>
            <w:pPr>
              <w:pStyle w:val="Normal"/>
              <w:widowControl w:val="false"/>
              <w:spacing w:lineRule="auto" w:line="240" w:before="0" w:after="0"/>
              <w:jc w:val="center"/>
              <w:rPr>
                <w:rFonts w:ascii="Times New Roman" w:hAnsi="Times New Roman" w:cs="Times New Roman"/>
                <w:sz w:val="24"/>
                <w:szCs w:val="24"/>
                <w:highlight w:val="white"/>
              </w:rPr>
            </w:pPr>
            <w:r>
              <w:rPr>
                <w:rFonts w:cs="Times New Roman" w:ascii="Times New Roman" w:hAnsi="Times New Roman"/>
                <w:sz w:val="24"/>
                <w:szCs w:val="24"/>
                <w:shd w:fill="FFFFFF" w:val="clear"/>
              </w:rPr>
              <w:t>Ofis Tel: 0232 486 03 13</w:t>
            </w:r>
          </w:p>
          <w:p>
            <w:pPr>
              <w:pStyle w:val="Normal"/>
              <w:widowControl w:val="false"/>
              <w:spacing w:lineRule="auto" w:line="240" w:before="0" w:after="0"/>
              <w:jc w:val="center"/>
              <w:rPr>
                <w:rFonts w:ascii="Times New Roman" w:hAnsi="Times New Roman" w:cs="Times New Roman"/>
                <w:sz w:val="24"/>
                <w:szCs w:val="24"/>
                <w:highlight w:val="white"/>
              </w:rPr>
            </w:pP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rPr>
              <w:t>0232 486 03 14</w:t>
            </w:r>
          </w:p>
          <w:p>
            <w:pPr>
              <w:pStyle w:val="Normal"/>
              <w:widowControl w:val="false"/>
              <w:spacing w:lineRule="auto" w:line="240" w:before="0" w:after="0"/>
              <w:jc w:val="center"/>
              <w:rPr>
                <w:rFonts w:ascii="Times New Roman" w:hAnsi="Times New Roman" w:cs="Times New Roman"/>
                <w:sz w:val="24"/>
                <w:szCs w:val="24"/>
                <w:highlight w:val="white"/>
              </w:rPr>
            </w:pP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rPr>
              <w:t>0232 486 03 15</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shd w:fill="FFFFFF" w:val="clear"/>
              </w:rPr>
              <w:t>GSM: 0549 834 25 29</w:t>
            </w:r>
          </w:p>
        </w:tc>
      </w:tr>
    </w:tbl>
    <w:p>
      <w:pPr>
        <w:pStyle w:val="Normal"/>
        <w:spacing w:lineRule="auto" w:line="240" w:before="0" w:after="0"/>
        <w:jc w:val="center"/>
        <w:rPr>
          <w:rFonts w:ascii="Times New Roman" w:hAnsi="Times New Roman" w:cs="Times New Roman"/>
          <w:b/>
          <w:b/>
          <w:sz w:val="30"/>
          <w:szCs w:val="30"/>
        </w:rPr>
      </w:pPr>
      <w:r>
        <w:rPr/>
      </w:r>
    </w:p>
    <w:sectPr>
      <w:footerReference w:type="default" r:id="rId2"/>
      <w:type w:val="nextPage"/>
      <w:pgSz w:w="11906" w:h="16838"/>
      <w:pgMar w:left="1134" w:right="1134" w:gutter="0" w:header="0" w:top="851" w:footer="569" w:bottom="66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imes New Roman">
    <w:charset w:val="a2"/>
    <w:family w:val="roman"/>
    <w:pitch w:val="variable"/>
  </w:font>
  <w:font w:name="Liberation Sans">
    <w:altName w:val="Arial"/>
    <w:charset w:val="a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spacing w:before="0" w:after="200"/>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tr-TR" w:eastAsia="tr-T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55e2"/>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tr-TR" w:eastAsia="tr-TR" w:bidi="ar-SA"/>
    </w:rPr>
  </w:style>
  <w:style w:type="paragraph" w:styleId="Balk1">
    <w:name w:val="Heading 1"/>
    <w:basedOn w:val="Normal"/>
    <w:link w:val="Balk1Char"/>
    <w:uiPriority w:val="9"/>
    <w:qFormat/>
    <w:rsid w:val="00cf15a6"/>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uiPriority w:val="9"/>
    <w:qFormat/>
    <w:rsid w:val="00cf15a6"/>
    <w:rPr>
      <w:rFonts w:ascii="Times New Roman" w:hAnsi="Times New Roman" w:eastAsia="Times New Roman" w:cs="Times New Roman"/>
      <w:b/>
      <w:bCs/>
      <w:kern w:val="2"/>
      <w:sz w:val="48"/>
      <w:szCs w:val="48"/>
    </w:rPr>
  </w:style>
  <w:style w:type="character" w:styleId="Category" w:customStyle="1">
    <w:name w:val="category"/>
    <w:basedOn w:val="DefaultParagraphFont"/>
    <w:qFormat/>
    <w:rsid w:val="00cf15a6"/>
    <w:rPr/>
  </w:style>
  <w:style w:type="character" w:styleId="Date" w:customStyle="1">
    <w:name w:val="date"/>
    <w:basedOn w:val="DefaultParagraphFont"/>
    <w:qFormat/>
    <w:rsid w:val="00cf15a6"/>
    <w:rPr/>
  </w:style>
  <w:style w:type="character" w:styleId="Dcfontresizebig" w:customStyle="1">
    <w:name w:val="dc-fontresize-big"/>
    <w:basedOn w:val="DefaultParagraphFont"/>
    <w:qFormat/>
    <w:rsid w:val="00cf15a6"/>
    <w:rPr/>
  </w:style>
  <w:style w:type="character" w:styleId="Dcfontresizesmall" w:customStyle="1">
    <w:name w:val="dc-fontresize-small"/>
    <w:basedOn w:val="DefaultParagraphFont"/>
    <w:qFormat/>
    <w:rsid w:val="00cf15a6"/>
    <w:rPr/>
  </w:style>
  <w:style w:type="character" w:styleId="Dcprint" w:customStyle="1">
    <w:name w:val="dc-print"/>
    <w:basedOn w:val="DefaultParagraphFont"/>
    <w:qFormat/>
    <w:rsid w:val="00cf15a6"/>
    <w:rPr/>
  </w:style>
  <w:style w:type="character" w:styleId="Strong">
    <w:name w:val="Strong"/>
    <w:basedOn w:val="DefaultParagraphFont"/>
    <w:uiPriority w:val="22"/>
    <w:qFormat/>
    <w:rsid w:val="00cf15a6"/>
    <w:rPr>
      <w:b/>
      <w:bCs/>
    </w:rPr>
  </w:style>
  <w:style w:type="paragraph" w:styleId="Balk">
    <w:name w:val="Başlık"/>
    <w:basedOn w:val="Normal"/>
    <w:next w:val="MetinGvdesi"/>
    <w:qFormat/>
    <w:pPr>
      <w:keepNext w:val="true"/>
      <w:spacing w:before="240" w:after="120"/>
    </w:pPr>
    <w:rPr>
      <w:rFonts w:ascii="Liberation Sans" w:hAnsi="Liberation Sans" w:eastAsia="Microsoft YaHei" w:cs="Mang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Mangal"/>
    </w:rPr>
  </w:style>
  <w:style w:type="paragraph" w:styleId="ResimYazs">
    <w:name w:val="Caption"/>
    <w:basedOn w:val="Normal"/>
    <w:qFormat/>
    <w:pPr>
      <w:suppressLineNumbers/>
      <w:spacing w:before="120" w:after="120"/>
    </w:pPr>
    <w:rPr>
      <w:rFonts w:cs="Mangal"/>
      <w:i/>
      <w:iCs/>
      <w:sz w:val="24"/>
      <w:szCs w:val="24"/>
    </w:rPr>
  </w:style>
  <w:style w:type="paragraph" w:styleId="Dizin">
    <w:name w:val="Dizin"/>
    <w:basedOn w:val="Normal"/>
    <w:qFormat/>
    <w:pPr>
      <w:suppressLineNumbers/>
    </w:pPr>
    <w:rPr>
      <w:rFonts w:cs="Mangal"/>
    </w:rPr>
  </w:style>
  <w:style w:type="paragraph" w:styleId="ListParagraph">
    <w:name w:val="List Paragraph"/>
    <w:basedOn w:val="Normal"/>
    <w:uiPriority w:val="34"/>
    <w:qFormat/>
    <w:rsid w:val="000a62bd"/>
    <w:pPr>
      <w:spacing w:before="0" w:after="200"/>
      <w:ind w:left="720" w:hanging="0"/>
      <w:contextualSpacing/>
    </w:pPr>
    <w:rPr/>
  </w:style>
  <w:style w:type="paragraph" w:styleId="Tabloerii">
    <w:name w:val="Tablo İçeriği"/>
    <w:basedOn w:val="Normal"/>
    <w:qFormat/>
    <w:pPr>
      <w:suppressLineNumbers/>
    </w:pPr>
    <w:rPr/>
  </w:style>
  <w:style w:type="paragraph" w:styleId="TabloBal">
    <w:name w:val="Tablo Başlığı"/>
    <w:basedOn w:val="Tabloerii"/>
    <w:qFormat/>
    <w:pPr>
      <w:suppressLineNumbers/>
      <w:jc w:val="center"/>
    </w:pPr>
    <w:rPr>
      <w:b/>
      <w:bCs/>
    </w:rPr>
  </w:style>
  <w:style w:type="paragraph" w:styleId="Stvealtbilgi">
    <w:name w:val="Üst ve alt bilgi"/>
    <w:basedOn w:val="Normal"/>
    <w:qFormat/>
    <w:pPr>
      <w:suppressLineNumbers/>
      <w:tabs>
        <w:tab w:val="clear" w:pos="708"/>
        <w:tab w:val="center" w:pos="4819" w:leader="none"/>
        <w:tab w:val="right" w:pos="9638" w:leader="none"/>
      </w:tabs>
    </w:pPr>
    <w:rPr/>
  </w:style>
  <w:style w:type="paragraph" w:styleId="Altbilgi">
    <w:name w:val="Footer"/>
    <w:basedOn w:val="Stvealtbilgi"/>
    <w:pPr>
      <w:suppressLineNumbers/>
    </w:pPr>
    <w:rPr/>
  </w:style>
  <w:style w:type="numbering" w:styleId="NoList" w:default="1">
    <w:name w:val="No List"/>
    <w:uiPriority w:val="99"/>
    <w:semiHidden/>
    <w:unhideWhenUsed/>
    <w:qFormat/>
  </w:style>
  <w:style w:type="table" w:default="1" w:styleId="NormalTablo">
    <w:name w:val="Normal Table"/>
    <w:uiPriority w:val="99"/>
    <w:semiHidden/>
    <w:unhideWhenUsed/>
    <w:qFormat/>
    <w:tblPr>
      <w:tblCellMar>
        <w:top w:w="0" w:type="dxa"/>
        <w:left w:w="108" w:type="dxa"/>
        <w:bottom w:w="0" w:type="dxa"/>
        <w:right w:w="108" w:type="dxa"/>
      </w:tblCellMar>
    </w:tblPr>
  </w:style>
  <w:style w:type="table" w:styleId="TabloKlavuzu">
    <w:name w:val="Table Grid"/>
    <w:basedOn w:val="NormalTablo"/>
    <w:uiPriority w:val="59"/>
    <w:rsid w:val="00777c5d"/>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Application>LibreOffice/7.2.4.1$Windows_X86_64 LibreOffice_project/27d75539669ac387bb498e35313b970b7fe9c4f9</Application>
  <AppVersion>15.0000</AppVersion>
  <DocSecurity>0</DocSecurity>
  <Pages>2</Pages>
  <Words>608</Words>
  <Characters>3986</Characters>
  <CharactersWithSpaces>4556</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2020-01-02T12:02:00Z</dcterms:created>
  <dc:creator>Murat</dc:creator>
  <dc:description/>
  <dc:language>tr-TR</dc:language>
  <cp:lastModifiedBy/>
  <cp:lastPrinted>2023-08-25T16:40:49Z</cp:lastPrinted>
  <dcterms:modified xsi:type="dcterms:W3CDTF">2023-08-25T16:40:43Z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